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7E7" w:rsidRPr="0052548E" w:rsidRDefault="008177E7" w:rsidP="008177E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A429ED">
        <w:rPr>
          <w:rFonts w:ascii="Arial" w:hAnsi="Arial" w:cs="Arial"/>
          <w:b/>
          <w:bCs/>
          <w:sz w:val="28"/>
        </w:rPr>
        <w:tab/>
        <w:t>R1-1716178</w:t>
      </w:r>
    </w:p>
    <w:p w:rsidR="008177E7" w:rsidRPr="009513AC" w:rsidRDefault="008177E7" w:rsidP="008177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429ED" w:rsidRPr="00A429ED">
        <w:rPr>
          <w:rFonts w:ascii="Arial" w:hAnsi="Arial"/>
          <w:sz w:val="24"/>
        </w:rPr>
        <w:t>6.2.2.2</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B41E1" w:rsidRPr="00DB41E1">
        <w:rPr>
          <w:rFonts w:ascii="Arial" w:hAnsi="Arial"/>
          <w:sz w:val="22"/>
        </w:rPr>
        <w:t>On Codebook subset restriction for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560423">
        <w:rPr>
          <w:sz w:val="24"/>
          <w:szCs w:val="24"/>
        </w:rPr>
        <w:t>Regarding code book subset restriction, t</w:t>
      </w:r>
      <w:r>
        <w:rPr>
          <w:sz w:val="24"/>
          <w:szCs w:val="24"/>
        </w:rPr>
        <w:t xml:space="preserve">he following agreements were made in RAN1 </w:t>
      </w:r>
      <w:r w:rsidR="00560423">
        <w:rPr>
          <w:sz w:val="24"/>
          <w:szCs w:val="24"/>
        </w:rPr>
        <w:t>#90</w:t>
      </w:r>
    </w:p>
    <w:p w:rsidR="00A868D8" w:rsidRPr="00CA1957" w:rsidRDefault="00A868D8" w:rsidP="00A868D8">
      <w:pPr>
        <w:tabs>
          <w:tab w:val="left" w:pos="720"/>
        </w:tabs>
        <w:rPr>
          <w:b/>
          <w:sz w:val="24"/>
          <w:u w:val="single"/>
        </w:rPr>
      </w:pPr>
      <w:r w:rsidRPr="00CA1957">
        <w:rPr>
          <w:b/>
          <w:sz w:val="24"/>
          <w:highlight w:val="green"/>
          <w:u w:val="single"/>
        </w:rPr>
        <w:t>Agreements</w:t>
      </w:r>
      <w:r w:rsidRPr="00CA1957">
        <w:rPr>
          <w:b/>
          <w:sz w:val="24"/>
          <w:u w:val="single"/>
        </w:rPr>
        <w:t>:</w:t>
      </w:r>
    </w:p>
    <w:p w:rsidR="00A868D8" w:rsidRPr="00CA1957" w:rsidRDefault="00A868D8" w:rsidP="00A868D8">
      <w:pPr>
        <w:numPr>
          <w:ilvl w:val="0"/>
          <w:numId w:val="16"/>
        </w:numPr>
        <w:tabs>
          <w:tab w:val="left" w:pos="720"/>
        </w:tabs>
        <w:overflowPunct/>
        <w:autoSpaceDE/>
        <w:autoSpaceDN/>
        <w:adjustRightInd/>
        <w:spacing w:after="0"/>
        <w:textAlignment w:val="auto"/>
        <w:rPr>
          <w:sz w:val="24"/>
        </w:rPr>
      </w:pPr>
      <w:r w:rsidRPr="00CA1957">
        <w:rPr>
          <w:sz w:val="24"/>
        </w:rPr>
        <w:t>Codebook subset restriction (CSR) is supported for Type I single-panel</w:t>
      </w:r>
    </w:p>
    <w:p w:rsidR="00A868D8" w:rsidRPr="00CA1957" w:rsidRDefault="00A868D8" w:rsidP="00A868D8">
      <w:pPr>
        <w:numPr>
          <w:ilvl w:val="1"/>
          <w:numId w:val="16"/>
        </w:numPr>
        <w:tabs>
          <w:tab w:val="left" w:pos="720"/>
        </w:tabs>
        <w:overflowPunct/>
        <w:autoSpaceDE/>
        <w:autoSpaceDN/>
        <w:adjustRightInd/>
        <w:spacing w:after="0"/>
        <w:textAlignment w:val="auto"/>
        <w:rPr>
          <w:sz w:val="24"/>
        </w:rPr>
      </w:pPr>
      <w:r w:rsidRPr="00CA1957">
        <w:rPr>
          <w:sz w:val="24"/>
        </w:rPr>
        <w:t>CSR supports DFT beam restriction and rank restriction</w:t>
      </w:r>
    </w:p>
    <w:p w:rsidR="00A868D8" w:rsidRPr="00CA1957" w:rsidRDefault="00A868D8" w:rsidP="00A868D8">
      <w:pPr>
        <w:numPr>
          <w:ilvl w:val="1"/>
          <w:numId w:val="16"/>
        </w:numPr>
        <w:tabs>
          <w:tab w:val="left" w:pos="720"/>
        </w:tabs>
        <w:overflowPunct/>
        <w:autoSpaceDE/>
        <w:autoSpaceDN/>
        <w:adjustRightInd/>
        <w:spacing w:after="0"/>
        <w:textAlignment w:val="auto"/>
        <w:rPr>
          <w:sz w:val="24"/>
        </w:rPr>
      </w:pPr>
      <w:r w:rsidRPr="00CA1957">
        <w:rPr>
          <w:sz w:val="24"/>
        </w:rPr>
        <w:t>Beam restriction is bitmap of length N</w:t>
      </w:r>
      <w:r w:rsidRPr="00CA1957">
        <w:rPr>
          <w:sz w:val="24"/>
          <w:vertAlign w:val="subscript"/>
        </w:rPr>
        <w:t>1</w:t>
      </w:r>
      <w:r w:rsidRPr="00CA1957">
        <w:rPr>
          <w:sz w:val="24"/>
        </w:rPr>
        <w:t>O</w:t>
      </w:r>
      <w:r w:rsidRPr="00CA1957">
        <w:rPr>
          <w:sz w:val="24"/>
          <w:vertAlign w:val="subscript"/>
        </w:rPr>
        <w:t>1</w:t>
      </w:r>
      <w:r w:rsidRPr="00CA1957">
        <w:rPr>
          <w:sz w:val="24"/>
        </w:rPr>
        <w:t>N</w:t>
      </w:r>
      <w:r w:rsidRPr="00CA1957">
        <w:rPr>
          <w:sz w:val="24"/>
          <w:vertAlign w:val="subscript"/>
        </w:rPr>
        <w:t>2</w:t>
      </w:r>
      <w:r w:rsidRPr="00CA1957">
        <w:rPr>
          <w:sz w:val="24"/>
        </w:rPr>
        <w:t>O</w:t>
      </w:r>
      <w:r w:rsidRPr="00CA1957">
        <w:rPr>
          <w:sz w:val="24"/>
          <w:vertAlign w:val="subscript"/>
        </w:rPr>
        <w:t>2</w:t>
      </w:r>
      <w:r w:rsidRPr="00CA1957">
        <w:rPr>
          <w:sz w:val="24"/>
        </w:rPr>
        <w:t xml:space="preserve"> where each bit is associated with DFT beam</w:t>
      </w:r>
    </w:p>
    <w:p w:rsidR="00A868D8" w:rsidRPr="00CA1957" w:rsidRDefault="00A868D8" w:rsidP="00A868D8">
      <w:pPr>
        <w:numPr>
          <w:ilvl w:val="2"/>
          <w:numId w:val="16"/>
        </w:numPr>
        <w:tabs>
          <w:tab w:val="left" w:pos="720"/>
        </w:tabs>
        <w:overflowPunct/>
        <w:autoSpaceDE/>
        <w:autoSpaceDN/>
        <w:adjustRightInd/>
        <w:spacing w:after="0"/>
        <w:textAlignment w:val="auto"/>
        <w:rPr>
          <w:sz w:val="24"/>
        </w:rPr>
      </w:pPr>
      <w:r w:rsidRPr="00CA1957">
        <w:rPr>
          <w:sz w:val="24"/>
        </w:rPr>
        <w:t>If a PMI is comprising of at least one restricted DFT beam, this PMI is considered as restricted</w:t>
      </w:r>
    </w:p>
    <w:p w:rsidR="00A868D8" w:rsidRPr="00CA1957" w:rsidRDefault="00A868D8" w:rsidP="00A868D8">
      <w:pPr>
        <w:numPr>
          <w:ilvl w:val="2"/>
          <w:numId w:val="16"/>
        </w:numPr>
        <w:tabs>
          <w:tab w:val="left" w:pos="720"/>
        </w:tabs>
        <w:overflowPunct/>
        <w:autoSpaceDE/>
        <w:autoSpaceDN/>
        <w:adjustRightInd/>
        <w:spacing w:after="0"/>
        <w:textAlignment w:val="auto"/>
        <w:rPr>
          <w:sz w:val="24"/>
        </w:rPr>
      </w:pPr>
      <w:r w:rsidRPr="00CA1957">
        <w:rPr>
          <w:sz w:val="24"/>
        </w:rPr>
        <w:t>FFS:  Beam restriction for rank 3-4 codebooks for 16,24 and 32 ports</w:t>
      </w:r>
    </w:p>
    <w:p w:rsidR="00A868D8" w:rsidRPr="00CA1957" w:rsidRDefault="00A868D8" w:rsidP="00A868D8">
      <w:pPr>
        <w:numPr>
          <w:ilvl w:val="0"/>
          <w:numId w:val="16"/>
        </w:numPr>
        <w:tabs>
          <w:tab w:val="left" w:pos="720"/>
        </w:tabs>
        <w:overflowPunct/>
        <w:autoSpaceDE/>
        <w:autoSpaceDN/>
        <w:adjustRightInd/>
        <w:spacing w:after="0"/>
        <w:textAlignment w:val="auto"/>
        <w:rPr>
          <w:sz w:val="24"/>
        </w:rPr>
      </w:pPr>
      <w:r w:rsidRPr="00CA1957">
        <w:rPr>
          <w:sz w:val="24"/>
        </w:rPr>
        <w:t>CSR is supported for Type I multi-panel</w:t>
      </w:r>
    </w:p>
    <w:p w:rsidR="00A868D8" w:rsidRPr="00CA1957" w:rsidRDefault="00A868D8" w:rsidP="00A868D8">
      <w:pPr>
        <w:numPr>
          <w:ilvl w:val="1"/>
          <w:numId w:val="16"/>
        </w:numPr>
        <w:tabs>
          <w:tab w:val="left" w:pos="720"/>
        </w:tabs>
        <w:overflowPunct/>
        <w:autoSpaceDE/>
        <w:autoSpaceDN/>
        <w:adjustRightInd/>
        <w:spacing w:after="0"/>
        <w:textAlignment w:val="auto"/>
        <w:rPr>
          <w:sz w:val="24"/>
        </w:rPr>
      </w:pPr>
      <w:r w:rsidRPr="00CA1957">
        <w:rPr>
          <w:sz w:val="24"/>
        </w:rPr>
        <w:t>CSR supports at least rank restriction and beam restriction</w:t>
      </w:r>
    </w:p>
    <w:p w:rsidR="00A868D8" w:rsidRPr="00CA1957" w:rsidRDefault="00A868D8" w:rsidP="00A868D8">
      <w:pPr>
        <w:numPr>
          <w:ilvl w:val="2"/>
          <w:numId w:val="16"/>
        </w:numPr>
        <w:tabs>
          <w:tab w:val="left" w:pos="720"/>
        </w:tabs>
        <w:overflowPunct/>
        <w:autoSpaceDE/>
        <w:autoSpaceDN/>
        <w:adjustRightInd/>
        <w:spacing w:after="0"/>
        <w:textAlignment w:val="auto"/>
        <w:rPr>
          <w:sz w:val="24"/>
        </w:rPr>
      </w:pPr>
      <w:r w:rsidRPr="00CA1957">
        <w:rPr>
          <w:sz w:val="24"/>
        </w:rPr>
        <w:t>FFS: Details</w:t>
      </w:r>
    </w:p>
    <w:p w:rsidR="00A868D8" w:rsidRPr="00CA1957" w:rsidRDefault="00A868D8" w:rsidP="00A868D8">
      <w:pPr>
        <w:numPr>
          <w:ilvl w:val="2"/>
          <w:numId w:val="16"/>
        </w:numPr>
        <w:tabs>
          <w:tab w:val="left" w:pos="720"/>
        </w:tabs>
        <w:overflowPunct/>
        <w:autoSpaceDE/>
        <w:autoSpaceDN/>
        <w:adjustRightInd/>
        <w:spacing w:after="0"/>
        <w:textAlignment w:val="auto"/>
        <w:rPr>
          <w:sz w:val="24"/>
        </w:rPr>
      </w:pPr>
      <w:r w:rsidRPr="00CA1957">
        <w:rPr>
          <w:sz w:val="24"/>
        </w:rPr>
        <w:t>FFS beamforming direction restriction, e.g., it can include at least DFT beam</w:t>
      </w:r>
    </w:p>
    <w:p w:rsidR="00A868D8" w:rsidRPr="00CA1957" w:rsidRDefault="00A868D8" w:rsidP="00A868D8">
      <w:pPr>
        <w:numPr>
          <w:ilvl w:val="0"/>
          <w:numId w:val="16"/>
        </w:numPr>
        <w:tabs>
          <w:tab w:val="left" w:pos="720"/>
        </w:tabs>
        <w:overflowPunct/>
        <w:autoSpaceDE/>
        <w:autoSpaceDN/>
        <w:adjustRightInd/>
        <w:spacing w:after="0"/>
        <w:textAlignment w:val="auto"/>
        <w:rPr>
          <w:sz w:val="24"/>
        </w:rPr>
      </w:pPr>
      <w:r w:rsidRPr="00CA1957">
        <w:rPr>
          <w:sz w:val="24"/>
        </w:rPr>
        <w:t>FFS CSR for Type II</w:t>
      </w:r>
    </w:p>
    <w:p w:rsidR="00A868D8" w:rsidRPr="00CA1957" w:rsidRDefault="00A868D8" w:rsidP="00A868D8">
      <w:pPr>
        <w:numPr>
          <w:ilvl w:val="1"/>
          <w:numId w:val="16"/>
        </w:numPr>
        <w:tabs>
          <w:tab w:val="left" w:pos="720"/>
        </w:tabs>
        <w:overflowPunct/>
        <w:autoSpaceDE/>
        <w:autoSpaceDN/>
        <w:adjustRightInd/>
        <w:spacing w:after="0"/>
        <w:textAlignment w:val="auto"/>
        <w:rPr>
          <w:sz w:val="24"/>
        </w:rPr>
      </w:pPr>
      <w:r w:rsidRPr="00CA1957">
        <w:rPr>
          <w:sz w:val="24"/>
        </w:rPr>
        <w:t>CSR supports DFT beam restriction and rank restriction and FFS power restriction</w:t>
      </w:r>
    </w:p>
    <w:p w:rsidR="00A868D8" w:rsidRPr="00CA1957" w:rsidRDefault="00A868D8" w:rsidP="00A868D8">
      <w:pPr>
        <w:numPr>
          <w:ilvl w:val="2"/>
          <w:numId w:val="16"/>
        </w:numPr>
        <w:tabs>
          <w:tab w:val="left" w:pos="720"/>
        </w:tabs>
        <w:overflowPunct/>
        <w:autoSpaceDE/>
        <w:autoSpaceDN/>
        <w:adjustRightInd/>
        <w:spacing w:after="0"/>
        <w:textAlignment w:val="auto"/>
        <w:rPr>
          <w:sz w:val="24"/>
        </w:rPr>
      </w:pPr>
      <w:r w:rsidRPr="00CA1957">
        <w:rPr>
          <w:sz w:val="24"/>
        </w:rPr>
        <w:t>FFS: Details</w:t>
      </w:r>
    </w:p>
    <w:p w:rsidR="00A868D8" w:rsidRPr="00CA1957" w:rsidRDefault="00A868D8" w:rsidP="00A868D8">
      <w:pPr>
        <w:numPr>
          <w:ilvl w:val="0"/>
          <w:numId w:val="16"/>
        </w:numPr>
        <w:tabs>
          <w:tab w:val="left" w:pos="720"/>
        </w:tabs>
        <w:overflowPunct/>
        <w:autoSpaceDE/>
        <w:autoSpaceDN/>
        <w:adjustRightInd/>
        <w:spacing w:after="0"/>
        <w:textAlignment w:val="auto"/>
        <w:rPr>
          <w:sz w:val="24"/>
        </w:rPr>
      </w:pPr>
      <w:r w:rsidRPr="00CA1957">
        <w:rPr>
          <w:sz w:val="24"/>
        </w:rPr>
        <w:t>FFS: Impact of CSR on CSI reporting payload size</w:t>
      </w:r>
    </w:p>
    <w:p w:rsidR="00A868D8" w:rsidRPr="00CA1957" w:rsidRDefault="00A868D8" w:rsidP="00A868D8">
      <w:pPr>
        <w:numPr>
          <w:ilvl w:val="0"/>
          <w:numId w:val="16"/>
        </w:numPr>
        <w:tabs>
          <w:tab w:val="left" w:pos="720"/>
        </w:tabs>
        <w:overflowPunct/>
        <w:autoSpaceDE/>
        <w:autoSpaceDN/>
        <w:adjustRightInd/>
        <w:spacing w:after="0"/>
        <w:textAlignment w:val="auto"/>
        <w:rPr>
          <w:sz w:val="24"/>
        </w:rPr>
      </w:pPr>
      <w:r w:rsidRPr="00CA1957">
        <w:rPr>
          <w:sz w:val="24"/>
        </w:rPr>
        <w:t>FFS CSR for 2Tx</w:t>
      </w:r>
    </w:p>
    <w:p w:rsidR="00A868D8" w:rsidRDefault="00A868D8" w:rsidP="002F500A">
      <w:pPr>
        <w:overflowPunct/>
        <w:autoSpaceDE/>
        <w:autoSpaceDN/>
        <w:adjustRightInd/>
        <w:spacing w:after="0"/>
        <w:jc w:val="both"/>
        <w:textAlignment w:val="auto"/>
        <w:rPr>
          <w:rFonts w:eastAsia="MS Mincho"/>
          <w:sz w:val="24"/>
          <w:szCs w:val="24"/>
          <w:lang w:eastAsia="ja-JP"/>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CA1957">
        <w:rPr>
          <w:rFonts w:eastAsia="MS Mincho"/>
          <w:sz w:val="24"/>
          <w:szCs w:val="24"/>
          <w:lang w:eastAsia="ja-JP"/>
        </w:rPr>
        <w:t xml:space="preserve">code book subset restriction </w:t>
      </w:r>
      <w:r w:rsidR="00157AA0">
        <w:rPr>
          <w:rFonts w:eastAsia="MS Mincho"/>
          <w:sz w:val="24"/>
          <w:szCs w:val="24"/>
          <w:lang w:eastAsia="ja-JP"/>
        </w:rPr>
        <w:t xml:space="preserve">for NR. </w:t>
      </w:r>
    </w:p>
    <w:p w:rsidR="001D7377" w:rsidRDefault="00AD72BC" w:rsidP="001D7377">
      <w:pPr>
        <w:pStyle w:val="Heading1"/>
      </w:pPr>
      <w:r>
        <w:t xml:space="preserve"> </w:t>
      </w:r>
      <w:r w:rsidR="00142412">
        <w:t>Codebook subset restriction for Bandwidth pa</w:t>
      </w:r>
      <w:r w:rsidR="006A2A4D">
        <w:t>r</w:t>
      </w:r>
      <w:r w:rsidR="00142412">
        <w:t>ts</w:t>
      </w:r>
    </w:p>
    <w:p w:rsidR="006A2A4D" w:rsidRDefault="006A2A4D" w:rsidP="006A2A4D">
      <w:pPr>
        <w:jc w:val="both"/>
        <w:rPr>
          <w:sz w:val="24"/>
        </w:rPr>
      </w:pPr>
      <w:bookmarkStart w:id="2" w:name="_Ref378529477"/>
      <w:r>
        <w:rPr>
          <w:sz w:val="24"/>
          <w:szCs w:val="24"/>
        </w:rPr>
        <w:t xml:space="preserve">In NR, </w:t>
      </w:r>
      <w:r>
        <w:rPr>
          <w:sz w:val="24"/>
          <w:szCs w:val="24"/>
        </w:rPr>
        <w:t xml:space="preserve">the component carrier bandwidth is very large say 400 </w:t>
      </w:r>
      <w:r w:rsidR="006A790A">
        <w:rPr>
          <w:sz w:val="24"/>
          <w:szCs w:val="24"/>
        </w:rPr>
        <w:t>MHz.</w:t>
      </w:r>
      <w:r>
        <w:rPr>
          <w:sz w:val="24"/>
          <w:szCs w:val="24"/>
        </w:rPr>
        <w:t xml:space="preserve">  </w:t>
      </w:r>
      <w:r>
        <w:rPr>
          <w:sz w:val="24"/>
          <w:szCs w:val="24"/>
        </w:rPr>
        <w:t>Since t</w:t>
      </w:r>
      <w:r>
        <w:rPr>
          <w:sz w:val="24"/>
          <w:szCs w:val="24"/>
        </w:rPr>
        <w:t xml:space="preserve">he UE may not use all the bandwidth </w:t>
      </w:r>
      <w:r>
        <w:rPr>
          <w:sz w:val="24"/>
          <w:szCs w:val="24"/>
        </w:rPr>
        <w:t xml:space="preserve">of 400 MHz, the </w:t>
      </w:r>
      <w:r>
        <w:rPr>
          <w:sz w:val="24"/>
          <w:szCs w:val="24"/>
        </w:rPr>
        <w:t xml:space="preserve">bandwidth part concept </w:t>
      </w:r>
      <w:r>
        <w:rPr>
          <w:sz w:val="24"/>
          <w:szCs w:val="24"/>
        </w:rPr>
        <w:t xml:space="preserve">was </w:t>
      </w:r>
      <w:r>
        <w:rPr>
          <w:sz w:val="24"/>
          <w:szCs w:val="24"/>
        </w:rPr>
        <w:t>introduced where the UE can use only a subset of bandwidth.</w:t>
      </w:r>
      <w:r>
        <w:rPr>
          <w:rFonts w:cs="Arial"/>
          <w:color w:val="000000"/>
          <w:sz w:val="24"/>
          <w:szCs w:val="24"/>
        </w:rPr>
        <w:t xml:space="preserve"> </w:t>
      </w:r>
      <w:r w:rsidRPr="00B1740C">
        <w:rPr>
          <w:sz w:val="24"/>
        </w:rPr>
        <w:t xml:space="preserve">A UE can be configured with one or more carrier bandwidth parts in the downlink with </w:t>
      </w:r>
      <w:r>
        <w:rPr>
          <w:sz w:val="24"/>
        </w:rPr>
        <w:t xml:space="preserve">either one or </w:t>
      </w:r>
      <w:r w:rsidRPr="00B1740C">
        <w:rPr>
          <w:sz w:val="24"/>
        </w:rPr>
        <w:t>a subset of carrier bandwidth parts being active at a given time. The UE is not expected to receive PDSCH or PDCCH outside an active bandwidth part.</w:t>
      </w:r>
      <w:r>
        <w:rPr>
          <w:rFonts w:cs="Arial"/>
          <w:color w:val="000000"/>
          <w:sz w:val="24"/>
          <w:szCs w:val="24"/>
        </w:rPr>
        <w:t xml:space="preserve"> </w:t>
      </w:r>
      <w:r w:rsidRPr="00B1740C">
        <w:rPr>
          <w:sz w:val="24"/>
        </w:rPr>
        <w:t>A UE can be configured with one or more carrier bandwidth parts in the uplink with a subset of carrier bandwidth parts being active at a given time. The UE shall not transmit PUSCH or PUCCH outside an active bandwidth part.</w:t>
      </w:r>
    </w:p>
    <w:p w:rsidR="006A2A4D" w:rsidRDefault="006A2A4D" w:rsidP="006A2A4D">
      <w:pPr>
        <w:jc w:val="both"/>
        <w:rPr>
          <w:sz w:val="24"/>
        </w:rPr>
      </w:pPr>
      <w:r>
        <w:rPr>
          <w:sz w:val="24"/>
        </w:rPr>
        <w:lastRenderedPageBreak/>
        <w:t xml:space="preserve">Even though the codebook subset restriction was agreed in the previous meeting, it is still not clear whether the bit map sent by the network to the UE is applicable at the bandwidth part level or at the carrier level.  In our view the codebook subset restriction should be at bandwidth part level as the precoders useful for one bandwidth part may not be used at another bandwidth part. For example if the CSR bit map might be completely different for the first and the last bandwidth parts. </w:t>
      </w:r>
      <w:r>
        <w:rPr>
          <w:sz w:val="24"/>
        </w:rPr>
        <w:t xml:space="preserve">Similar to LTE, we prefer the network should signal the CSR bit map using RRC signaling.  </w:t>
      </w:r>
    </w:p>
    <w:p w:rsidR="006A2A4D" w:rsidRDefault="006A2A4D" w:rsidP="006A2A4D">
      <w:pPr>
        <w:jc w:val="both"/>
        <w:rPr>
          <w:b/>
          <w:sz w:val="24"/>
          <w:szCs w:val="24"/>
        </w:rPr>
      </w:pPr>
      <w:r>
        <w:rPr>
          <w:b/>
          <w:sz w:val="24"/>
          <w:szCs w:val="24"/>
        </w:rPr>
        <w:t>Proposal</w:t>
      </w:r>
      <w:r>
        <w:rPr>
          <w:b/>
          <w:sz w:val="24"/>
          <w:szCs w:val="24"/>
        </w:rPr>
        <w:t xml:space="preserve"> 1</w:t>
      </w:r>
      <w:r w:rsidRPr="005C1BF7">
        <w:rPr>
          <w:b/>
          <w:sz w:val="24"/>
          <w:szCs w:val="24"/>
        </w:rPr>
        <w:t xml:space="preserve">: </w:t>
      </w:r>
      <w:r>
        <w:rPr>
          <w:b/>
          <w:sz w:val="24"/>
          <w:szCs w:val="24"/>
        </w:rPr>
        <w:t xml:space="preserve"> Codebook subset restriction is configured for each bandwidth part of the carrier </w:t>
      </w:r>
      <w:r>
        <w:rPr>
          <w:b/>
          <w:sz w:val="24"/>
          <w:szCs w:val="24"/>
        </w:rPr>
        <w:t xml:space="preserve"> </w:t>
      </w:r>
    </w:p>
    <w:p w:rsidR="006A2A4D" w:rsidRDefault="006A2A4D" w:rsidP="006A2A4D">
      <w:pPr>
        <w:jc w:val="both"/>
        <w:rPr>
          <w:b/>
          <w:sz w:val="24"/>
          <w:szCs w:val="24"/>
        </w:rPr>
      </w:pPr>
      <w:r>
        <w:rPr>
          <w:b/>
          <w:sz w:val="24"/>
          <w:szCs w:val="24"/>
        </w:rPr>
        <w:t>Proposal</w:t>
      </w:r>
      <w:r>
        <w:rPr>
          <w:b/>
          <w:sz w:val="24"/>
          <w:szCs w:val="24"/>
        </w:rPr>
        <w:t xml:space="preserve"> 2</w:t>
      </w:r>
      <w:r w:rsidRPr="005C1BF7">
        <w:rPr>
          <w:b/>
          <w:sz w:val="24"/>
          <w:szCs w:val="24"/>
        </w:rPr>
        <w:t xml:space="preserve">: </w:t>
      </w:r>
      <w:r>
        <w:rPr>
          <w:b/>
          <w:sz w:val="24"/>
          <w:szCs w:val="24"/>
        </w:rPr>
        <w:t xml:space="preserve"> Codebook subset restr</w:t>
      </w:r>
      <w:r>
        <w:rPr>
          <w:b/>
          <w:sz w:val="24"/>
          <w:szCs w:val="24"/>
        </w:rPr>
        <w:t>iction for each bandwidth part is</w:t>
      </w:r>
      <w:r>
        <w:rPr>
          <w:b/>
          <w:sz w:val="24"/>
          <w:szCs w:val="24"/>
        </w:rPr>
        <w:t xml:space="preserve"> configured </w:t>
      </w:r>
      <w:r>
        <w:rPr>
          <w:b/>
          <w:sz w:val="24"/>
          <w:szCs w:val="24"/>
        </w:rPr>
        <w:t xml:space="preserve">via RRC signaling </w:t>
      </w:r>
    </w:p>
    <w:p w:rsidR="006A2A4D" w:rsidRDefault="006A2A4D" w:rsidP="006A2A4D">
      <w:pPr>
        <w:jc w:val="both"/>
        <w:rPr>
          <w:sz w:val="24"/>
        </w:rPr>
      </w:pPr>
      <w:r>
        <w:rPr>
          <w:sz w:val="24"/>
        </w:rPr>
        <w:t xml:space="preserve">However, there are cases when the CBSR bit map is same for multiple bandwidth parts. In these cases, we prefer to </w:t>
      </w:r>
      <w:r w:rsidR="00A8639D">
        <w:rPr>
          <w:sz w:val="24"/>
        </w:rPr>
        <w:t>use reduced</w:t>
      </w:r>
      <w:r>
        <w:rPr>
          <w:sz w:val="24"/>
        </w:rPr>
        <w:t xml:space="preserve"> pay load for example, 1 bit can indicate to the UE </w:t>
      </w:r>
      <w:r w:rsidR="00A8639D">
        <w:rPr>
          <w:sz w:val="24"/>
        </w:rPr>
        <w:t>that it</w:t>
      </w:r>
      <w:r>
        <w:rPr>
          <w:sz w:val="24"/>
        </w:rPr>
        <w:t xml:space="preserve"> should use the same CBSR bit map as that of first/primary bandwidth part. </w:t>
      </w:r>
      <w:r w:rsidR="00A8639D">
        <w:rPr>
          <w:sz w:val="24"/>
        </w:rPr>
        <w:t xml:space="preserve"> For example, let’s say the network configures 4 bandwidth parts. Then the network can send CSR bit map for first/primary bandwidth part and for the other carriers it can send a small pay load say 3 bits as shown in Table 1 </w:t>
      </w:r>
    </w:p>
    <w:p w:rsidR="00A8639D" w:rsidRDefault="00A8639D" w:rsidP="006A2A4D">
      <w:pPr>
        <w:jc w:val="both"/>
        <w:rPr>
          <w:sz w:val="24"/>
        </w:rPr>
      </w:pPr>
    </w:p>
    <w:p w:rsidR="00A8639D" w:rsidRDefault="00A8639D" w:rsidP="00A8639D">
      <w:pPr>
        <w:pStyle w:val="Caption"/>
        <w:keepNext/>
      </w:pPr>
      <w:r>
        <w:t xml:space="preserve">Table </w:t>
      </w:r>
      <w:fldSimple w:instr=" SEQ Table \* ARABIC ">
        <w:r>
          <w:rPr>
            <w:noProof/>
          </w:rPr>
          <w:t>1</w:t>
        </w:r>
      </w:fldSimple>
      <w:r>
        <w:t xml:space="preserve"> Reduced signaling for CSR indication for bandwidth parts</w:t>
      </w:r>
    </w:p>
    <w:tbl>
      <w:tblPr>
        <w:tblStyle w:val="TableGrid"/>
        <w:tblW w:w="0" w:type="auto"/>
        <w:tblLook w:val="04A0" w:firstRow="1" w:lastRow="0" w:firstColumn="1" w:lastColumn="0" w:noHBand="0" w:noVBand="1"/>
      </w:tblPr>
      <w:tblGrid>
        <w:gridCol w:w="1384"/>
        <w:gridCol w:w="1276"/>
        <w:gridCol w:w="6552"/>
      </w:tblGrid>
      <w:tr w:rsidR="00A8639D" w:rsidTr="007B7627">
        <w:tc>
          <w:tcPr>
            <w:tcW w:w="1384" w:type="dxa"/>
          </w:tcPr>
          <w:p w:rsidR="00A8639D" w:rsidRDefault="00A8639D" w:rsidP="007B7627">
            <w:pPr>
              <w:jc w:val="center"/>
              <w:rPr>
                <w:color w:val="000000"/>
                <w:sz w:val="24"/>
                <w:szCs w:val="24"/>
              </w:rPr>
            </w:pPr>
            <w:r>
              <w:rPr>
                <w:color w:val="000000"/>
                <w:sz w:val="24"/>
                <w:szCs w:val="24"/>
              </w:rPr>
              <w:t>Option</w:t>
            </w:r>
          </w:p>
        </w:tc>
        <w:tc>
          <w:tcPr>
            <w:tcW w:w="1276" w:type="dxa"/>
          </w:tcPr>
          <w:p w:rsidR="00A8639D" w:rsidRDefault="00A8639D" w:rsidP="007B7627">
            <w:pPr>
              <w:jc w:val="center"/>
              <w:rPr>
                <w:color w:val="000000"/>
                <w:sz w:val="24"/>
                <w:szCs w:val="24"/>
              </w:rPr>
            </w:pPr>
            <w:r>
              <w:rPr>
                <w:color w:val="000000"/>
                <w:sz w:val="24"/>
                <w:szCs w:val="24"/>
              </w:rPr>
              <w:t>bitmap</w:t>
            </w:r>
          </w:p>
        </w:tc>
        <w:tc>
          <w:tcPr>
            <w:tcW w:w="6552" w:type="dxa"/>
          </w:tcPr>
          <w:p w:rsidR="00A8639D" w:rsidRDefault="00A8639D" w:rsidP="007B7627">
            <w:pPr>
              <w:rPr>
                <w:color w:val="000000"/>
                <w:sz w:val="24"/>
                <w:szCs w:val="24"/>
              </w:rPr>
            </w:pPr>
            <w:r>
              <w:rPr>
                <w:color w:val="000000"/>
                <w:sz w:val="24"/>
                <w:szCs w:val="24"/>
              </w:rPr>
              <w:t>Indication clarification</w:t>
            </w:r>
          </w:p>
        </w:tc>
      </w:tr>
      <w:tr w:rsidR="00A8639D" w:rsidTr="007B7627">
        <w:tc>
          <w:tcPr>
            <w:tcW w:w="1384" w:type="dxa"/>
          </w:tcPr>
          <w:p w:rsidR="00A8639D" w:rsidRDefault="00A8639D" w:rsidP="007B7627">
            <w:pPr>
              <w:jc w:val="center"/>
              <w:rPr>
                <w:color w:val="000000"/>
                <w:sz w:val="24"/>
                <w:szCs w:val="24"/>
              </w:rPr>
            </w:pPr>
            <w:r>
              <w:rPr>
                <w:color w:val="000000"/>
                <w:sz w:val="24"/>
                <w:szCs w:val="24"/>
              </w:rPr>
              <w:t>1</w:t>
            </w:r>
          </w:p>
        </w:tc>
        <w:tc>
          <w:tcPr>
            <w:tcW w:w="1276" w:type="dxa"/>
          </w:tcPr>
          <w:p w:rsidR="00A8639D" w:rsidRDefault="00A8639D" w:rsidP="007B7627">
            <w:pPr>
              <w:jc w:val="center"/>
              <w:rPr>
                <w:color w:val="000000"/>
                <w:sz w:val="24"/>
                <w:szCs w:val="24"/>
              </w:rPr>
            </w:pPr>
            <w:r>
              <w:rPr>
                <w:color w:val="000000"/>
                <w:sz w:val="24"/>
                <w:szCs w:val="24"/>
              </w:rPr>
              <w:t>000</w:t>
            </w:r>
          </w:p>
        </w:tc>
        <w:tc>
          <w:tcPr>
            <w:tcW w:w="6552" w:type="dxa"/>
          </w:tcPr>
          <w:p w:rsidR="00A8639D" w:rsidRDefault="00A8639D" w:rsidP="007B7627">
            <w:pPr>
              <w:rPr>
                <w:color w:val="000000"/>
                <w:sz w:val="24"/>
                <w:szCs w:val="24"/>
              </w:rPr>
            </w:pPr>
            <w:r>
              <w:rPr>
                <w:color w:val="000000"/>
                <w:sz w:val="24"/>
                <w:szCs w:val="24"/>
              </w:rPr>
              <w:t>CBSR of C2 =  CBSR of C1</w:t>
            </w:r>
          </w:p>
        </w:tc>
      </w:tr>
      <w:tr w:rsidR="00A8639D" w:rsidTr="007B7627">
        <w:tc>
          <w:tcPr>
            <w:tcW w:w="1384" w:type="dxa"/>
          </w:tcPr>
          <w:p w:rsidR="00A8639D" w:rsidRDefault="00A8639D" w:rsidP="007B7627">
            <w:pPr>
              <w:jc w:val="center"/>
              <w:rPr>
                <w:color w:val="000000"/>
                <w:sz w:val="24"/>
                <w:szCs w:val="24"/>
              </w:rPr>
            </w:pPr>
            <w:r>
              <w:rPr>
                <w:color w:val="000000"/>
                <w:sz w:val="24"/>
                <w:szCs w:val="24"/>
              </w:rPr>
              <w:t>2</w:t>
            </w:r>
          </w:p>
        </w:tc>
        <w:tc>
          <w:tcPr>
            <w:tcW w:w="1276" w:type="dxa"/>
          </w:tcPr>
          <w:p w:rsidR="00A8639D" w:rsidRDefault="00A8639D" w:rsidP="007B7627">
            <w:pPr>
              <w:jc w:val="center"/>
              <w:rPr>
                <w:color w:val="000000"/>
                <w:sz w:val="24"/>
                <w:szCs w:val="24"/>
              </w:rPr>
            </w:pPr>
            <w:r>
              <w:rPr>
                <w:color w:val="000000"/>
                <w:sz w:val="24"/>
                <w:szCs w:val="24"/>
              </w:rPr>
              <w:t>001</w:t>
            </w:r>
          </w:p>
        </w:tc>
        <w:tc>
          <w:tcPr>
            <w:tcW w:w="6552" w:type="dxa"/>
          </w:tcPr>
          <w:p w:rsidR="00A8639D" w:rsidRDefault="00A8639D" w:rsidP="007B7627">
            <w:pPr>
              <w:rPr>
                <w:color w:val="000000"/>
                <w:sz w:val="24"/>
                <w:szCs w:val="24"/>
              </w:rPr>
            </w:pPr>
            <w:r>
              <w:rPr>
                <w:color w:val="000000"/>
                <w:sz w:val="24"/>
                <w:szCs w:val="24"/>
              </w:rPr>
              <w:t>CBSR of C3 =  CBSR of C1</w:t>
            </w:r>
          </w:p>
        </w:tc>
      </w:tr>
      <w:tr w:rsidR="00A8639D" w:rsidTr="007B7627">
        <w:tc>
          <w:tcPr>
            <w:tcW w:w="1384" w:type="dxa"/>
          </w:tcPr>
          <w:p w:rsidR="00A8639D" w:rsidRDefault="00A8639D" w:rsidP="007B7627">
            <w:pPr>
              <w:jc w:val="center"/>
              <w:rPr>
                <w:color w:val="000000"/>
                <w:sz w:val="24"/>
                <w:szCs w:val="24"/>
              </w:rPr>
            </w:pPr>
            <w:r>
              <w:rPr>
                <w:color w:val="000000"/>
                <w:sz w:val="24"/>
                <w:szCs w:val="24"/>
              </w:rPr>
              <w:t>3</w:t>
            </w:r>
          </w:p>
        </w:tc>
        <w:tc>
          <w:tcPr>
            <w:tcW w:w="1276" w:type="dxa"/>
          </w:tcPr>
          <w:p w:rsidR="00A8639D" w:rsidRDefault="00A8639D" w:rsidP="007B7627">
            <w:pPr>
              <w:jc w:val="center"/>
              <w:rPr>
                <w:color w:val="000000"/>
                <w:sz w:val="24"/>
                <w:szCs w:val="24"/>
              </w:rPr>
            </w:pPr>
            <w:r>
              <w:rPr>
                <w:color w:val="000000"/>
                <w:sz w:val="24"/>
                <w:szCs w:val="24"/>
              </w:rPr>
              <w:t>010</w:t>
            </w:r>
          </w:p>
        </w:tc>
        <w:tc>
          <w:tcPr>
            <w:tcW w:w="6552" w:type="dxa"/>
          </w:tcPr>
          <w:p w:rsidR="00A8639D" w:rsidRDefault="00A8639D" w:rsidP="007B7627">
            <w:pPr>
              <w:rPr>
                <w:color w:val="000000"/>
                <w:sz w:val="24"/>
                <w:szCs w:val="24"/>
              </w:rPr>
            </w:pPr>
            <w:r>
              <w:rPr>
                <w:color w:val="000000"/>
                <w:sz w:val="24"/>
                <w:szCs w:val="24"/>
              </w:rPr>
              <w:t>CBSR of C4 =  CBSR of C1</w:t>
            </w:r>
          </w:p>
        </w:tc>
      </w:tr>
      <w:tr w:rsidR="00A8639D" w:rsidTr="007B7627">
        <w:tc>
          <w:tcPr>
            <w:tcW w:w="1384" w:type="dxa"/>
          </w:tcPr>
          <w:p w:rsidR="00A8639D" w:rsidRDefault="00A8639D" w:rsidP="007B7627">
            <w:pPr>
              <w:jc w:val="center"/>
              <w:rPr>
                <w:color w:val="000000"/>
                <w:sz w:val="24"/>
                <w:szCs w:val="24"/>
              </w:rPr>
            </w:pPr>
            <w:r>
              <w:rPr>
                <w:color w:val="000000"/>
                <w:sz w:val="24"/>
                <w:szCs w:val="24"/>
              </w:rPr>
              <w:t>4</w:t>
            </w:r>
          </w:p>
        </w:tc>
        <w:tc>
          <w:tcPr>
            <w:tcW w:w="1276" w:type="dxa"/>
          </w:tcPr>
          <w:p w:rsidR="00A8639D" w:rsidRDefault="00A8639D" w:rsidP="007B7627">
            <w:pPr>
              <w:jc w:val="center"/>
              <w:rPr>
                <w:color w:val="000000"/>
                <w:sz w:val="24"/>
                <w:szCs w:val="24"/>
              </w:rPr>
            </w:pPr>
            <w:r>
              <w:rPr>
                <w:color w:val="000000"/>
                <w:sz w:val="24"/>
                <w:szCs w:val="24"/>
              </w:rPr>
              <w:t>011</w:t>
            </w:r>
          </w:p>
        </w:tc>
        <w:tc>
          <w:tcPr>
            <w:tcW w:w="6552" w:type="dxa"/>
          </w:tcPr>
          <w:p w:rsidR="00A8639D" w:rsidRDefault="00A8639D" w:rsidP="007B7627">
            <w:pPr>
              <w:rPr>
                <w:color w:val="000000"/>
                <w:sz w:val="24"/>
                <w:szCs w:val="24"/>
              </w:rPr>
            </w:pPr>
            <w:r>
              <w:rPr>
                <w:color w:val="000000"/>
                <w:sz w:val="24"/>
                <w:szCs w:val="24"/>
              </w:rPr>
              <w:t>CBSR of C3 =  CBSR of C2</w:t>
            </w:r>
          </w:p>
        </w:tc>
      </w:tr>
      <w:tr w:rsidR="00A8639D" w:rsidTr="007B7627">
        <w:tc>
          <w:tcPr>
            <w:tcW w:w="1384" w:type="dxa"/>
          </w:tcPr>
          <w:p w:rsidR="00A8639D" w:rsidRDefault="00A8639D" w:rsidP="007B7627">
            <w:pPr>
              <w:jc w:val="center"/>
              <w:rPr>
                <w:color w:val="000000"/>
                <w:sz w:val="24"/>
                <w:szCs w:val="24"/>
              </w:rPr>
            </w:pPr>
            <w:r>
              <w:rPr>
                <w:color w:val="000000"/>
                <w:sz w:val="24"/>
                <w:szCs w:val="24"/>
              </w:rPr>
              <w:t>5</w:t>
            </w:r>
          </w:p>
        </w:tc>
        <w:tc>
          <w:tcPr>
            <w:tcW w:w="1276" w:type="dxa"/>
          </w:tcPr>
          <w:p w:rsidR="00A8639D" w:rsidRDefault="00A8639D" w:rsidP="007B7627">
            <w:pPr>
              <w:jc w:val="center"/>
              <w:rPr>
                <w:color w:val="000000"/>
                <w:sz w:val="24"/>
                <w:szCs w:val="24"/>
              </w:rPr>
            </w:pPr>
            <w:r>
              <w:rPr>
                <w:color w:val="000000"/>
                <w:sz w:val="24"/>
                <w:szCs w:val="24"/>
              </w:rPr>
              <w:t>100</w:t>
            </w:r>
          </w:p>
        </w:tc>
        <w:tc>
          <w:tcPr>
            <w:tcW w:w="6552" w:type="dxa"/>
          </w:tcPr>
          <w:p w:rsidR="00A8639D" w:rsidRDefault="00A8639D" w:rsidP="007B7627">
            <w:pPr>
              <w:rPr>
                <w:color w:val="000000"/>
                <w:sz w:val="24"/>
                <w:szCs w:val="24"/>
              </w:rPr>
            </w:pPr>
            <w:r>
              <w:rPr>
                <w:color w:val="000000"/>
                <w:sz w:val="24"/>
                <w:szCs w:val="24"/>
              </w:rPr>
              <w:t>CBSR of C4 =  CBSR of C3</w:t>
            </w:r>
          </w:p>
        </w:tc>
      </w:tr>
      <w:tr w:rsidR="00A8639D" w:rsidTr="007B7627">
        <w:tc>
          <w:tcPr>
            <w:tcW w:w="1384" w:type="dxa"/>
          </w:tcPr>
          <w:p w:rsidR="00A8639D" w:rsidRDefault="00A8639D" w:rsidP="007B7627">
            <w:pPr>
              <w:jc w:val="center"/>
              <w:rPr>
                <w:color w:val="000000"/>
                <w:sz w:val="24"/>
                <w:szCs w:val="24"/>
              </w:rPr>
            </w:pPr>
            <w:r>
              <w:rPr>
                <w:color w:val="000000"/>
                <w:sz w:val="24"/>
                <w:szCs w:val="24"/>
              </w:rPr>
              <w:t>6</w:t>
            </w:r>
          </w:p>
        </w:tc>
        <w:tc>
          <w:tcPr>
            <w:tcW w:w="1276" w:type="dxa"/>
          </w:tcPr>
          <w:p w:rsidR="00A8639D" w:rsidRDefault="00A8639D" w:rsidP="007B7627">
            <w:pPr>
              <w:jc w:val="center"/>
              <w:rPr>
                <w:color w:val="000000"/>
                <w:sz w:val="24"/>
                <w:szCs w:val="24"/>
              </w:rPr>
            </w:pPr>
            <w:r>
              <w:rPr>
                <w:color w:val="000000"/>
                <w:sz w:val="24"/>
                <w:szCs w:val="24"/>
              </w:rPr>
              <w:t>101</w:t>
            </w:r>
          </w:p>
        </w:tc>
        <w:tc>
          <w:tcPr>
            <w:tcW w:w="6552" w:type="dxa"/>
          </w:tcPr>
          <w:p w:rsidR="00A8639D" w:rsidRDefault="00A8639D" w:rsidP="007B7627">
            <w:pPr>
              <w:rPr>
                <w:color w:val="000000"/>
                <w:sz w:val="24"/>
                <w:szCs w:val="24"/>
              </w:rPr>
            </w:pPr>
            <w:r>
              <w:rPr>
                <w:color w:val="000000"/>
                <w:sz w:val="24"/>
                <w:szCs w:val="24"/>
              </w:rPr>
              <w:t>CBSR of C3 =  CBSR of C2 =  CBSR of C1</w:t>
            </w:r>
          </w:p>
        </w:tc>
      </w:tr>
      <w:tr w:rsidR="00A8639D" w:rsidTr="007B7627">
        <w:tc>
          <w:tcPr>
            <w:tcW w:w="1384" w:type="dxa"/>
          </w:tcPr>
          <w:p w:rsidR="00A8639D" w:rsidRDefault="00A8639D" w:rsidP="007B7627">
            <w:pPr>
              <w:jc w:val="center"/>
              <w:rPr>
                <w:color w:val="000000"/>
                <w:sz w:val="24"/>
                <w:szCs w:val="24"/>
              </w:rPr>
            </w:pPr>
            <w:r>
              <w:rPr>
                <w:color w:val="000000"/>
                <w:sz w:val="24"/>
                <w:szCs w:val="24"/>
              </w:rPr>
              <w:t>7</w:t>
            </w:r>
          </w:p>
        </w:tc>
        <w:tc>
          <w:tcPr>
            <w:tcW w:w="1276" w:type="dxa"/>
          </w:tcPr>
          <w:p w:rsidR="00A8639D" w:rsidRDefault="00A8639D" w:rsidP="007B7627">
            <w:pPr>
              <w:jc w:val="center"/>
              <w:rPr>
                <w:color w:val="000000"/>
                <w:sz w:val="24"/>
                <w:szCs w:val="24"/>
              </w:rPr>
            </w:pPr>
            <w:r>
              <w:rPr>
                <w:color w:val="000000"/>
                <w:sz w:val="24"/>
                <w:szCs w:val="24"/>
              </w:rPr>
              <w:t>110</w:t>
            </w:r>
          </w:p>
        </w:tc>
        <w:tc>
          <w:tcPr>
            <w:tcW w:w="6552" w:type="dxa"/>
          </w:tcPr>
          <w:p w:rsidR="00A8639D" w:rsidRDefault="00A8639D" w:rsidP="007B7627">
            <w:pPr>
              <w:rPr>
                <w:color w:val="000000"/>
                <w:sz w:val="24"/>
                <w:szCs w:val="24"/>
              </w:rPr>
            </w:pPr>
            <w:r>
              <w:rPr>
                <w:color w:val="000000"/>
                <w:sz w:val="24"/>
                <w:szCs w:val="24"/>
              </w:rPr>
              <w:t>CBSR of C4 =  CBSR of C3 =  CBSR of C1</w:t>
            </w:r>
          </w:p>
        </w:tc>
      </w:tr>
      <w:tr w:rsidR="00A8639D" w:rsidTr="007B7627">
        <w:tc>
          <w:tcPr>
            <w:tcW w:w="1384" w:type="dxa"/>
          </w:tcPr>
          <w:p w:rsidR="00A8639D" w:rsidRDefault="00A8639D" w:rsidP="007B7627">
            <w:pPr>
              <w:jc w:val="center"/>
              <w:rPr>
                <w:color w:val="000000"/>
                <w:sz w:val="24"/>
                <w:szCs w:val="24"/>
              </w:rPr>
            </w:pPr>
            <w:r>
              <w:rPr>
                <w:color w:val="000000"/>
                <w:sz w:val="24"/>
                <w:szCs w:val="24"/>
              </w:rPr>
              <w:t>8</w:t>
            </w:r>
          </w:p>
        </w:tc>
        <w:tc>
          <w:tcPr>
            <w:tcW w:w="1276" w:type="dxa"/>
          </w:tcPr>
          <w:p w:rsidR="00A8639D" w:rsidRDefault="00A8639D" w:rsidP="007B7627">
            <w:pPr>
              <w:jc w:val="center"/>
              <w:rPr>
                <w:color w:val="000000"/>
                <w:sz w:val="24"/>
                <w:szCs w:val="24"/>
              </w:rPr>
            </w:pPr>
            <w:r>
              <w:rPr>
                <w:color w:val="000000"/>
                <w:sz w:val="24"/>
                <w:szCs w:val="24"/>
              </w:rPr>
              <w:t>111</w:t>
            </w:r>
          </w:p>
        </w:tc>
        <w:tc>
          <w:tcPr>
            <w:tcW w:w="6552" w:type="dxa"/>
          </w:tcPr>
          <w:p w:rsidR="00A8639D" w:rsidRDefault="00A8639D" w:rsidP="007B7627">
            <w:pPr>
              <w:rPr>
                <w:color w:val="000000"/>
                <w:sz w:val="24"/>
                <w:szCs w:val="24"/>
              </w:rPr>
            </w:pPr>
            <w:r>
              <w:rPr>
                <w:color w:val="000000"/>
                <w:sz w:val="24"/>
                <w:szCs w:val="24"/>
              </w:rPr>
              <w:t>CBSR of C4 =  CBSR of C3 =  CBSR of C2</w:t>
            </w:r>
          </w:p>
        </w:tc>
      </w:tr>
      <w:tr w:rsidR="00A8639D" w:rsidTr="007B7627">
        <w:tc>
          <w:tcPr>
            <w:tcW w:w="9212" w:type="dxa"/>
            <w:gridSpan w:val="3"/>
          </w:tcPr>
          <w:p w:rsidR="00A8639D" w:rsidRDefault="00A8639D" w:rsidP="007B7627">
            <w:pPr>
              <w:rPr>
                <w:color w:val="000000"/>
                <w:sz w:val="24"/>
                <w:szCs w:val="24"/>
              </w:rPr>
            </w:pPr>
            <w:r>
              <w:rPr>
                <w:color w:val="000000"/>
                <w:sz w:val="24"/>
                <w:szCs w:val="24"/>
              </w:rPr>
              <w:t xml:space="preserve">Note: CBSR - </w:t>
            </w:r>
            <w:r w:rsidRPr="00761729">
              <w:rPr>
                <w:i/>
                <w:color w:val="000000"/>
                <w:sz w:val="24"/>
                <w:szCs w:val="24"/>
              </w:rPr>
              <w:t>codebook subset restriction</w:t>
            </w:r>
            <w:r>
              <w:rPr>
                <w:i/>
                <w:color w:val="000000"/>
                <w:sz w:val="24"/>
                <w:szCs w:val="24"/>
              </w:rPr>
              <w:t>, C1-</w:t>
            </w:r>
            <w:r>
              <w:rPr>
                <w:i/>
                <w:color w:val="000000"/>
                <w:sz w:val="24"/>
                <w:szCs w:val="24"/>
              </w:rPr>
              <w:t>Primary BWP, C2- Secondary BWP, C3 – 3</w:t>
            </w:r>
            <w:r w:rsidRPr="003B3DFF">
              <w:rPr>
                <w:i/>
                <w:color w:val="000000"/>
                <w:sz w:val="24"/>
                <w:szCs w:val="24"/>
                <w:vertAlign w:val="superscript"/>
              </w:rPr>
              <w:t>rd</w:t>
            </w:r>
            <w:r>
              <w:rPr>
                <w:i/>
                <w:color w:val="000000"/>
                <w:sz w:val="24"/>
                <w:szCs w:val="24"/>
              </w:rPr>
              <w:t xml:space="preserve"> BWP, C4 – 4</w:t>
            </w:r>
            <w:r w:rsidRPr="003B3DFF">
              <w:rPr>
                <w:i/>
                <w:color w:val="000000"/>
                <w:sz w:val="24"/>
                <w:szCs w:val="24"/>
                <w:vertAlign w:val="superscript"/>
              </w:rPr>
              <w:t>th</w:t>
            </w:r>
            <w:r>
              <w:rPr>
                <w:i/>
                <w:color w:val="000000"/>
                <w:sz w:val="24"/>
                <w:szCs w:val="24"/>
              </w:rPr>
              <w:t xml:space="preserve"> BWP</w:t>
            </w:r>
          </w:p>
        </w:tc>
      </w:tr>
    </w:tbl>
    <w:p w:rsidR="00A8639D" w:rsidRDefault="00A8639D" w:rsidP="006A2A4D">
      <w:pPr>
        <w:jc w:val="both"/>
        <w:rPr>
          <w:sz w:val="24"/>
        </w:rPr>
      </w:pPr>
    </w:p>
    <w:p w:rsidR="00F864D6" w:rsidRPr="00305A61" w:rsidRDefault="00A8639D" w:rsidP="00305A61">
      <w:pPr>
        <w:jc w:val="both"/>
        <w:rPr>
          <w:b/>
          <w:sz w:val="24"/>
          <w:szCs w:val="24"/>
        </w:rPr>
      </w:pPr>
      <w:r>
        <w:rPr>
          <w:b/>
          <w:sz w:val="24"/>
          <w:szCs w:val="24"/>
        </w:rPr>
        <w:t>Proposal</w:t>
      </w:r>
      <w:r>
        <w:rPr>
          <w:b/>
          <w:sz w:val="24"/>
          <w:szCs w:val="24"/>
        </w:rPr>
        <w:t xml:space="preserve"> 3</w:t>
      </w:r>
      <w:r w:rsidRPr="005C1BF7">
        <w:rPr>
          <w:b/>
          <w:sz w:val="24"/>
          <w:szCs w:val="24"/>
        </w:rPr>
        <w:t xml:space="preserve">: </w:t>
      </w:r>
      <w:r>
        <w:rPr>
          <w:b/>
          <w:sz w:val="24"/>
          <w:szCs w:val="24"/>
        </w:rPr>
        <w:t xml:space="preserve"> </w:t>
      </w:r>
      <w:r>
        <w:rPr>
          <w:b/>
          <w:sz w:val="24"/>
          <w:szCs w:val="24"/>
        </w:rPr>
        <w:t xml:space="preserve"> Reduced signaling </w:t>
      </w:r>
      <w:r w:rsidR="00586094">
        <w:rPr>
          <w:b/>
          <w:sz w:val="24"/>
          <w:szCs w:val="24"/>
        </w:rPr>
        <w:t>techniques are</w:t>
      </w:r>
      <w:r>
        <w:rPr>
          <w:b/>
          <w:sz w:val="24"/>
          <w:szCs w:val="24"/>
        </w:rPr>
        <w:t xml:space="preserve"> used to indicate the </w:t>
      </w:r>
      <w:r>
        <w:rPr>
          <w:b/>
          <w:sz w:val="24"/>
          <w:szCs w:val="24"/>
        </w:rPr>
        <w:t xml:space="preserve">Codebook subset restriction </w:t>
      </w:r>
      <w:r>
        <w:rPr>
          <w:b/>
          <w:sz w:val="24"/>
          <w:szCs w:val="24"/>
        </w:rPr>
        <w:t xml:space="preserve">bit map </w:t>
      </w:r>
      <w:r>
        <w:rPr>
          <w:b/>
          <w:sz w:val="24"/>
          <w:szCs w:val="24"/>
        </w:rPr>
        <w:t xml:space="preserve">for each bandwidth part </w:t>
      </w:r>
    </w:p>
    <w:p w:rsidR="00142412" w:rsidRDefault="00D2594D" w:rsidP="00142412">
      <w:pPr>
        <w:pStyle w:val="Heading1"/>
      </w:pPr>
      <w:r>
        <w:lastRenderedPageBreak/>
        <w:t xml:space="preserve">Impact of </w:t>
      </w:r>
      <w:r>
        <w:t>Codebook subset restriction</w:t>
      </w:r>
      <w:r>
        <w:t xml:space="preserve"> </w:t>
      </w:r>
      <w:r w:rsidR="00B77F41">
        <w:t>on CSI</w:t>
      </w:r>
      <w:r>
        <w:t xml:space="preserve"> reporting payload</w:t>
      </w:r>
    </w:p>
    <w:p w:rsidR="00142412" w:rsidRDefault="00305A61" w:rsidP="00142412">
      <w:pPr>
        <w:pStyle w:val="Heading3"/>
        <w:keepLines w:val="0"/>
        <w:numPr>
          <w:ilvl w:val="2"/>
          <w:numId w:val="0"/>
        </w:numPr>
        <w:tabs>
          <w:tab w:val="num" w:pos="851"/>
        </w:tabs>
        <w:spacing w:before="480"/>
        <w:jc w:val="both"/>
        <w:rPr>
          <w:rFonts w:asciiTheme="minorHAnsi" w:hAnsiTheme="minorHAnsi"/>
          <w:color w:val="000000" w:themeColor="text1"/>
          <w:sz w:val="24"/>
        </w:rPr>
      </w:pPr>
      <w:r>
        <w:rPr>
          <w:rFonts w:asciiTheme="minorHAnsi" w:hAnsiTheme="minorHAnsi"/>
          <w:color w:val="000000" w:themeColor="text1"/>
          <w:sz w:val="24"/>
        </w:rPr>
        <w:t xml:space="preserve">In LTE, the feedback channel is not adapted according to codebook subset restriction bit map. For example, say the UE is configured with only 4 precoders out of 16 precoders. Then the number of PMI bits should be equal to 2 rather than 4. However, LTE supports 4 bits to indicate the PMI.  </w:t>
      </w:r>
      <w:r w:rsidR="00142412">
        <w:rPr>
          <w:rFonts w:asciiTheme="minorHAnsi" w:hAnsiTheme="minorHAnsi"/>
          <w:color w:val="000000" w:themeColor="text1"/>
          <w:sz w:val="24"/>
        </w:rPr>
        <w:t>Figure 1</w:t>
      </w:r>
      <w:r w:rsidR="00142412" w:rsidRPr="00753837">
        <w:rPr>
          <w:rFonts w:asciiTheme="minorHAnsi" w:hAnsiTheme="minorHAnsi"/>
          <w:color w:val="000000" w:themeColor="text1"/>
          <w:sz w:val="24"/>
        </w:rPr>
        <w:t xml:space="preserve"> shows </w:t>
      </w:r>
      <w:r w:rsidR="00424742" w:rsidRPr="00753837">
        <w:rPr>
          <w:rFonts w:asciiTheme="minorHAnsi" w:hAnsiTheme="minorHAnsi"/>
          <w:color w:val="000000" w:themeColor="text1"/>
          <w:sz w:val="24"/>
        </w:rPr>
        <w:t xml:space="preserve">the </w:t>
      </w:r>
      <w:r w:rsidR="00424742">
        <w:rPr>
          <w:rFonts w:asciiTheme="minorHAnsi" w:hAnsiTheme="minorHAnsi"/>
          <w:color w:val="000000" w:themeColor="text1"/>
          <w:sz w:val="24"/>
        </w:rPr>
        <w:t xml:space="preserve">block error rate using (20, 8) and (20, 6) RM code. It can be observed that with reduced overhead significant energy savings can be obtained.  Hence in our view, CSI reporting payload should adapt based on the codebook subset restriction bit map entries.  </w:t>
      </w:r>
    </w:p>
    <w:p w:rsidR="00424742" w:rsidRDefault="00424742" w:rsidP="00424742">
      <w:pPr>
        <w:keepNext/>
      </w:pPr>
      <w:r w:rsidRPr="00424742">
        <w:rPr>
          <w:noProof/>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424742" w:rsidRPr="00424742" w:rsidRDefault="00424742" w:rsidP="00424742">
      <w:pPr>
        <w:pStyle w:val="Caption"/>
        <w:rPr>
          <w:lang w:val="en-GB"/>
        </w:rPr>
      </w:pPr>
      <w:r>
        <w:t xml:space="preserve">Figure </w:t>
      </w:r>
      <w:fldSimple w:instr=" SEQ Figure \* ARABIC ">
        <w:r>
          <w:rPr>
            <w:noProof/>
          </w:rPr>
          <w:t>1</w:t>
        </w:r>
      </w:fldSimple>
      <w:r>
        <w:t xml:space="preserve"> Block error rate for the uplink feedback channel with CSR considered in the </w:t>
      </w:r>
      <w:r w:rsidR="007C3391">
        <w:t xml:space="preserve">CSI </w:t>
      </w:r>
      <w:bookmarkStart w:id="3" w:name="_GoBack"/>
      <w:bookmarkEnd w:id="3"/>
      <w:r>
        <w:t>payload</w:t>
      </w:r>
    </w:p>
    <w:p w:rsidR="00424742" w:rsidRPr="00424742" w:rsidRDefault="00424742" w:rsidP="00424742">
      <w:pPr>
        <w:jc w:val="both"/>
        <w:rPr>
          <w:b/>
          <w:sz w:val="24"/>
          <w:szCs w:val="24"/>
        </w:rPr>
      </w:pPr>
      <w:r w:rsidRPr="00424742">
        <w:rPr>
          <w:b/>
          <w:sz w:val="24"/>
          <w:szCs w:val="24"/>
        </w:rPr>
        <w:t>Proposal</w:t>
      </w:r>
      <w:r w:rsidRPr="00424742">
        <w:rPr>
          <w:b/>
          <w:sz w:val="24"/>
          <w:szCs w:val="24"/>
        </w:rPr>
        <w:t xml:space="preserve"> 4</w:t>
      </w:r>
      <w:r w:rsidRPr="00424742">
        <w:rPr>
          <w:b/>
          <w:sz w:val="24"/>
          <w:szCs w:val="24"/>
        </w:rPr>
        <w:t xml:space="preserve">:  </w:t>
      </w:r>
      <w:r w:rsidRPr="00424742">
        <w:rPr>
          <w:b/>
          <w:color w:val="000000" w:themeColor="text1"/>
          <w:sz w:val="24"/>
        </w:rPr>
        <w:t>CSI reporting payload should adapt based on the codebook subset restriction bit map entries</w:t>
      </w:r>
    </w:p>
    <w:p w:rsidR="00142412" w:rsidRPr="00424742" w:rsidRDefault="00142412" w:rsidP="000118EB">
      <w:pPr>
        <w:jc w:val="both"/>
        <w:rPr>
          <w:b/>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described our views </w:t>
      </w:r>
      <w:r w:rsidR="00424742">
        <w:rPr>
          <w:sz w:val="24"/>
          <w:szCs w:val="24"/>
          <w:lang w:val="en-GB"/>
        </w:rPr>
        <w:t>on codebook subset restriction in NR</w:t>
      </w:r>
      <w:r w:rsidR="00152AB0">
        <w:rPr>
          <w:sz w:val="24"/>
          <w:szCs w:val="24"/>
          <w:lang w:val="en-GB"/>
        </w:rPr>
        <w:t>.</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367957" w:rsidRDefault="00367957" w:rsidP="00367957">
      <w:pPr>
        <w:jc w:val="both"/>
        <w:rPr>
          <w:b/>
          <w:sz w:val="24"/>
          <w:szCs w:val="24"/>
        </w:rPr>
      </w:pPr>
      <w:bookmarkStart w:id="10" w:name="_Ref450342757"/>
      <w:bookmarkEnd w:id="2"/>
      <w:r>
        <w:rPr>
          <w:b/>
          <w:sz w:val="24"/>
          <w:szCs w:val="24"/>
        </w:rPr>
        <w:t>Proposal 1</w:t>
      </w:r>
      <w:r w:rsidRPr="005C1BF7">
        <w:rPr>
          <w:b/>
          <w:sz w:val="24"/>
          <w:szCs w:val="24"/>
        </w:rPr>
        <w:t xml:space="preserve">: </w:t>
      </w:r>
      <w:r>
        <w:rPr>
          <w:b/>
          <w:sz w:val="24"/>
          <w:szCs w:val="24"/>
        </w:rPr>
        <w:t xml:space="preserve"> Codebook subset restriction is configured for each bandwidth part of the carrier  </w:t>
      </w:r>
    </w:p>
    <w:p w:rsidR="00367957" w:rsidRDefault="00367957" w:rsidP="00367957">
      <w:pPr>
        <w:jc w:val="both"/>
        <w:rPr>
          <w:b/>
          <w:sz w:val="24"/>
          <w:szCs w:val="24"/>
        </w:rPr>
      </w:pPr>
      <w:r>
        <w:rPr>
          <w:b/>
          <w:sz w:val="24"/>
          <w:szCs w:val="24"/>
        </w:rPr>
        <w:lastRenderedPageBreak/>
        <w:t>Proposal 2</w:t>
      </w:r>
      <w:r w:rsidRPr="005C1BF7">
        <w:rPr>
          <w:b/>
          <w:sz w:val="24"/>
          <w:szCs w:val="24"/>
        </w:rPr>
        <w:t xml:space="preserve">: </w:t>
      </w:r>
      <w:r>
        <w:rPr>
          <w:b/>
          <w:sz w:val="24"/>
          <w:szCs w:val="24"/>
        </w:rPr>
        <w:t xml:space="preserve"> Codebook subset restriction for each bandwidth part is configured via RRC signaling </w:t>
      </w:r>
    </w:p>
    <w:p w:rsidR="00367957" w:rsidRDefault="00367957" w:rsidP="00367957">
      <w:pPr>
        <w:jc w:val="both"/>
        <w:rPr>
          <w:b/>
          <w:sz w:val="24"/>
          <w:szCs w:val="24"/>
        </w:rPr>
      </w:pPr>
    </w:p>
    <w:p w:rsidR="00367957" w:rsidRPr="00305A61" w:rsidRDefault="00367957" w:rsidP="00367957">
      <w:pPr>
        <w:jc w:val="both"/>
        <w:rPr>
          <w:b/>
          <w:sz w:val="24"/>
          <w:szCs w:val="24"/>
        </w:rPr>
      </w:pPr>
      <w:r>
        <w:rPr>
          <w:b/>
          <w:sz w:val="24"/>
          <w:szCs w:val="24"/>
        </w:rPr>
        <w:t>Proposal 3</w:t>
      </w:r>
      <w:r w:rsidRPr="005C1BF7">
        <w:rPr>
          <w:b/>
          <w:sz w:val="24"/>
          <w:szCs w:val="24"/>
        </w:rPr>
        <w:t xml:space="preserve">: </w:t>
      </w:r>
      <w:r>
        <w:rPr>
          <w:b/>
          <w:sz w:val="24"/>
          <w:szCs w:val="24"/>
        </w:rPr>
        <w:t xml:space="preserve">  Reduced signaling techniques are used to indicate the Codebook subset restriction bit map for each bandwidth part </w:t>
      </w:r>
    </w:p>
    <w:p w:rsidR="00367957" w:rsidRDefault="00367957" w:rsidP="00424742">
      <w:pPr>
        <w:jc w:val="both"/>
        <w:rPr>
          <w:b/>
          <w:sz w:val="24"/>
          <w:szCs w:val="24"/>
        </w:rPr>
      </w:pPr>
    </w:p>
    <w:p w:rsidR="00424742" w:rsidRPr="00424742" w:rsidRDefault="00424742" w:rsidP="00424742">
      <w:pPr>
        <w:jc w:val="both"/>
        <w:rPr>
          <w:b/>
          <w:sz w:val="24"/>
          <w:szCs w:val="24"/>
        </w:rPr>
      </w:pPr>
      <w:r w:rsidRPr="00424742">
        <w:rPr>
          <w:b/>
          <w:sz w:val="24"/>
          <w:szCs w:val="24"/>
        </w:rPr>
        <w:t xml:space="preserve">Proposal 4:  </w:t>
      </w:r>
      <w:r w:rsidRPr="00424742">
        <w:rPr>
          <w:b/>
          <w:color w:val="000000" w:themeColor="text1"/>
          <w:sz w:val="24"/>
        </w:rPr>
        <w:t>CSI reporting payload should adapt based on the codebook subset restriction bit map entries</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0DF" w:rsidRDefault="006570DF" w:rsidP="00A03DF3">
      <w:pPr>
        <w:spacing w:after="0"/>
      </w:pPr>
      <w:r>
        <w:separator/>
      </w:r>
    </w:p>
  </w:endnote>
  <w:endnote w:type="continuationSeparator" w:id="0">
    <w:p w:rsidR="006570DF" w:rsidRDefault="006570D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C339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339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0DF" w:rsidRDefault="006570DF" w:rsidP="00A03DF3">
      <w:pPr>
        <w:spacing w:after="0"/>
      </w:pPr>
      <w:r>
        <w:separator/>
      </w:r>
    </w:p>
  </w:footnote>
  <w:footnote w:type="continuationSeparator" w:id="0">
    <w:p w:rsidR="006570DF" w:rsidRDefault="006570D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1"/>
  </w:num>
  <w:num w:numId="8">
    <w:abstractNumId w:val="14"/>
  </w:num>
  <w:num w:numId="9">
    <w:abstractNumId w:val="7"/>
  </w:num>
  <w:num w:numId="10">
    <w:abstractNumId w:val="10"/>
  </w:num>
  <w:num w:numId="11">
    <w:abstractNumId w:val="8"/>
  </w:num>
  <w:num w:numId="12">
    <w:abstractNumId w:val="15"/>
  </w:num>
  <w:num w:numId="13">
    <w:abstractNumId w:val="9"/>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042D6-7F99-4042-8F86-19537265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4421</TotalTime>
  <Pages>4</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414</cp:revision>
  <dcterms:created xsi:type="dcterms:W3CDTF">2016-08-12T11:37:00Z</dcterms:created>
  <dcterms:modified xsi:type="dcterms:W3CDTF">2017-09-11T21:27:00Z</dcterms:modified>
</cp:coreProperties>
</file>